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E259F">
      <w:pPr>
        <w:spacing w:line="576" w:lineRule="exact"/>
        <w:outlineLvl w:val="1"/>
        <w:rPr>
          <w:rFonts w:ascii="Times New Roman" w:hAnsi="Times New Roman" w:eastAsia="仿宋_GB2312" w:cs="Times New Roman"/>
          <w:b/>
          <w:bCs/>
          <w:color w:val="000000"/>
          <w:sz w:val="32"/>
          <w:szCs w:val="32"/>
        </w:rPr>
      </w:pPr>
      <w:r>
        <w:rPr>
          <w:rFonts w:ascii="Times New Roman" w:hAnsi="Times New Roman" w:eastAsia="仿宋_GB2312" w:cs="Times New Roman"/>
          <w:b/>
          <w:bCs/>
          <w:color w:val="000000"/>
          <w:sz w:val="32"/>
          <w:szCs w:val="32"/>
        </w:rPr>
        <w:t>附件6-2：</w:t>
      </w:r>
    </w:p>
    <w:p w14:paraId="4EA3A3AC">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吉林新闻奖参评作品推荐表</w:t>
      </w:r>
    </w:p>
    <w:p w14:paraId="4F31B442">
      <w:pPr>
        <w:tabs>
          <w:tab w:val="right" w:pos="8730"/>
        </w:tabs>
        <w:spacing w:line="400" w:lineRule="exact"/>
        <w:jc w:val="center"/>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(音视频新闻访谈、新闻直播和广播电视新闻编排)</w:t>
      </w:r>
    </w:p>
    <w:tbl>
      <w:tblPr>
        <w:tblStyle w:val="4"/>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74"/>
        <w:gridCol w:w="478"/>
        <w:gridCol w:w="62"/>
        <w:gridCol w:w="954"/>
        <w:gridCol w:w="453"/>
        <w:gridCol w:w="535"/>
        <w:gridCol w:w="792"/>
        <w:gridCol w:w="194"/>
        <w:gridCol w:w="756"/>
        <w:gridCol w:w="213"/>
        <w:gridCol w:w="654"/>
        <w:gridCol w:w="921"/>
        <w:gridCol w:w="55"/>
        <w:gridCol w:w="937"/>
        <w:gridCol w:w="1144"/>
      </w:tblGrid>
      <w:tr w14:paraId="28CEB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89" w:type="dxa"/>
            <w:vMerge w:val="restart"/>
            <w:tcBorders>
              <w:top w:val="single" w:color="auto" w:sz="4" w:space="0"/>
              <w:left w:val="single" w:color="auto" w:sz="4" w:space="0"/>
              <w:bottom w:val="single" w:color="auto" w:sz="4" w:space="0"/>
              <w:right w:val="single" w:color="auto" w:sz="4" w:space="0"/>
            </w:tcBorders>
            <w:vAlign w:val="center"/>
          </w:tcPr>
          <w:p w14:paraId="7DE13D51">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标题</w:t>
            </w:r>
          </w:p>
        </w:tc>
        <w:tc>
          <w:tcPr>
            <w:tcW w:w="4298" w:type="dxa"/>
            <w:gridSpan w:val="9"/>
            <w:vMerge w:val="restart"/>
            <w:tcBorders>
              <w:top w:val="single" w:color="auto" w:sz="4" w:space="0"/>
              <w:left w:val="single" w:color="auto" w:sz="4" w:space="0"/>
              <w:bottom w:val="single" w:color="auto" w:sz="4" w:space="0"/>
              <w:right w:val="single" w:color="auto" w:sz="4" w:space="0"/>
            </w:tcBorders>
            <w:vAlign w:val="center"/>
          </w:tcPr>
          <w:p w14:paraId="5A89B28F">
            <w:pPr>
              <w:spacing w:line="240" w:lineRule="exact"/>
              <w:jc w:val="center"/>
              <w:rPr>
                <w:rFonts w:ascii="Times New Roman" w:hAnsi="Times New Roman" w:eastAsia="仿宋_GB2312" w:cs="Times New Roman"/>
                <w:color w:val="000000"/>
                <w:sz w:val="28"/>
                <w:szCs w:val="28"/>
              </w:rPr>
            </w:pPr>
            <w:r>
              <w:rPr>
                <w:rFonts w:hint="eastAsia" w:ascii="Times New Roman" w:hAnsi="Times New Roman" w:eastAsia="仿宋" w:cs="Times New Roman"/>
                <w:color w:val="000000"/>
              </w:rPr>
              <w:t>东北振兴·特别对话｜邴正：创新推动安全发展 实现东北全面振兴</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6508C2E9">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参评项目</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0081F502">
            <w:pPr>
              <w:spacing w:line="240" w:lineRule="exact"/>
              <w:jc w:val="center"/>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 w:cs="Times New Roman"/>
                <w:color w:val="000000"/>
                <w:szCs w:val="21"/>
                <w:lang w:val="en-US" w:eastAsia="zh-CN"/>
              </w:rPr>
              <w:t>新闻访谈</w:t>
            </w:r>
          </w:p>
        </w:tc>
      </w:tr>
      <w:tr w14:paraId="60FB5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89" w:type="dxa"/>
            <w:vMerge w:val="continue"/>
            <w:tcBorders>
              <w:top w:val="single" w:color="auto" w:sz="4" w:space="0"/>
              <w:left w:val="single" w:color="auto" w:sz="4" w:space="0"/>
              <w:bottom w:val="single" w:color="auto" w:sz="4" w:space="0"/>
              <w:right w:val="single" w:color="auto" w:sz="4" w:space="0"/>
            </w:tcBorders>
            <w:vAlign w:val="center"/>
          </w:tcPr>
          <w:p w14:paraId="71F1A836">
            <w:pPr>
              <w:widowControl/>
              <w:jc w:val="left"/>
              <w:rPr>
                <w:rFonts w:ascii="Times New Roman" w:hAnsi="Times New Roman" w:eastAsia="华文中宋" w:cs="Times New Roman"/>
                <w:color w:val="000000"/>
                <w:sz w:val="28"/>
                <w:szCs w:val="28"/>
              </w:rPr>
            </w:pPr>
          </w:p>
        </w:tc>
        <w:tc>
          <w:tcPr>
            <w:tcW w:w="4298" w:type="dxa"/>
            <w:gridSpan w:val="9"/>
            <w:vMerge w:val="continue"/>
            <w:tcBorders>
              <w:top w:val="single" w:color="auto" w:sz="4" w:space="0"/>
              <w:left w:val="single" w:color="auto" w:sz="4" w:space="0"/>
              <w:bottom w:val="single" w:color="auto" w:sz="4" w:space="0"/>
              <w:right w:val="single" w:color="auto" w:sz="4" w:space="0"/>
            </w:tcBorders>
            <w:vAlign w:val="center"/>
          </w:tcPr>
          <w:p w14:paraId="70D708AB">
            <w:pPr>
              <w:widowControl/>
              <w:jc w:val="center"/>
              <w:rPr>
                <w:rFonts w:ascii="Times New Roman" w:hAnsi="Times New Roman" w:eastAsia="仿宋_GB2312" w:cs="Times New Roman"/>
                <w:color w:val="000000"/>
                <w:sz w:val="28"/>
                <w:szCs w:val="28"/>
              </w:rPr>
            </w:pP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425BB310">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体裁</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1E6B0F30">
            <w:pPr>
              <w:spacing w:line="240" w:lineRule="exact"/>
              <w:jc w:val="center"/>
              <w:rPr>
                <w:rFonts w:ascii="Times New Roman" w:hAnsi="Times New Roman" w:eastAsia="仿宋_GB2312" w:cs="Times New Roman"/>
                <w:color w:val="000000"/>
                <w:sz w:val="28"/>
                <w:szCs w:val="28"/>
              </w:rPr>
            </w:pPr>
          </w:p>
        </w:tc>
      </w:tr>
      <w:tr w14:paraId="49C2A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989" w:type="dxa"/>
            <w:tcBorders>
              <w:top w:val="single" w:color="auto" w:sz="4" w:space="0"/>
              <w:left w:val="single" w:color="auto" w:sz="4" w:space="0"/>
              <w:bottom w:val="single" w:color="auto" w:sz="4" w:space="0"/>
              <w:right w:val="single" w:color="auto" w:sz="4" w:space="0"/>
            </w:tcBorders>
            <w:vAlign w:val="center"/>
          </w:tcPr>
          <w:p w14:paraId="758BF68A">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时长</w:t>
            </w:r>
          </w:p>
        </w:tc>
        <w:tc>
          <w:tcPr>
            <w:tcW w:w="4298" w:type="dxa"/>
            <w:gridSpan w:val="9"/>
            <w:tcBorders>
              <w:top w:val="single" w:color="auto" w:sz="4" w:space="0"/>
              <w:left w:val="single" w:color="auto" w:sz="4" w:space="0"/>
              <w:bottom w:val="single" w:color="auto" w:sz="4" w:space="0"/>
              <w:right w:val="single" w:color="auto" w:sz="4" w:space="0"/>
            </w:tcBorders>
            <w:vAlign w:val="center"/>
          </w:tcPr>
          <w:p w14:paraId="62208AAC">
            <w:pPr>
              <w:spacing w:line="400" w:lineRule="exact"/>
              <w:jc w:val="center"/>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 w:cs="Times New Roman"/>
                <w:color w:val="000000"/>
                <w:lang w:val="en-US" w:eastAsia="zh-CN"/>
              </w:rPr>
              <w:t>1小时20分31秒</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1FD3BD94">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语种</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3F93BEC5">
            <w:pPr>
              <w:spacing w:line="240" w:lineRule="exact"/>
              <w:jc w:val="center"/>
              <w:rPr>
                <w:rFonts w:hint="eastAsia" w:ascii="Times New Roman" w:hAnsi="Times New Roman" w:eastAsia="仿宋_GB2312" w:cs="Times New Roman"/>
                <w:color w:val="000000"/>
                <w:sz w:val="28"/>
                <w:szCs w:val="28"/>
                <w:lang w:val="en-US" w:eastAsia="zh-CN"/>
              </w:rPr>
            </w:pPr>
          </w:p>
        </w:tc>
      </w:tr>
      <w:tr w14:paraId="25E7C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14:paraId="019D7DB5">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作者</w:t>
            </w:r>
          </w:p>
          <w:p w14:paraId="5C85534A">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4"/>
              </w:rPr>
              <w:t>（主创人员）</w:t>
            </w:r>
          </w:p>
        </w:tc>
        <w:tc>
          <w:tcPr>
            <w:tcW w:w="3684" w:type="dxa"/>
            <w:gridSpan w:val="6"/>
            <w:tcBorders>
              <w:top w:val="single" w:color="auto" w:sz="4" w:space="0"/>
              <w:left w:val="single" w:color="auto" w:sz="4" w:space="0"/>
              <w:bottom w:val="single" w:color="auto" w:sz="4" w:space="0"/>
              <w:right w:val="single" w:color="auto" w:sz="4" w:space="0"/>
            </w:tcBorders>
            <w:vAlign w:val="center"/>
          </w:tcPr>
          <w:p w14:paraId="5D1C65A5">
            <w:pPr>
              <w:spacing w:line="260" w:lineRule="exact"/>
              <w:jc w:val="center"/>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 w:cs="Times New Roman"/>
                <w:color w:val="000000"/>
                <w:lang w:val="en-US" w:eastAsia="zh-CN"/>
              </w:rPr>
              <w:t>越明、郭亮、王禹</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7E14267C">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编辑</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7AAFADEC">
            <w:pPr>
              <w:spacing w:line="260" w:lineRule="exact"/>
              <w:jc w:val="center"/>
              <w:rPr>
                <w:rFonts w:hint="eastAsia" w:ascii="Times New Roman" w:hAnsi="Times New Roman" w:eastAsia="仿宋" w:cs="Times New Roman"/>
                <w:color w:val="000000"/>
                <w:sz w:val="28"/>
                <w:szCs w:val="28"/>
                <w:lang w:val="en-US" w:eastAsia="zh-CN"/>
              </w:rPr>
            </w:pPr>
            <w:r>
              <w:rPr>
                <w:rFonts w:hint="eastAsia" w:ascii="Times New Roman" w:hAnsi="Times New Roman" w:eastAsia="仿宋" w:cs="Times New Roman"/>
                <w:color w:val="000000"/>
                <w:lang w:val="en-US" w:eastAsia="zh-CN"/>
              </w:rPr>
              <w:t>郭龙</w:t>
            </w:r>
          </w:p>
        </w:tc>
      </w:tr>
      <w:tr w14:paraId="41605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14:paraId="5EFCCCE7">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原创单位</w:t>
            </w:r>
          </w:p>
        </w:tc>
        <w:tc>
          <w:tcPr>
            <w:tcW w:w="3684" w:type="dxa"/>
            <w:gridSpan w:val="6"/>
            <w:tcBorders>
              <w:top w:val="single" w:color="auto" w:sz="4" w:space="0"/>
              <w:left w:val="single" w:color="auto" w:sz="4" w:space="0"/>
              <w:bottom w:val="single" w:color="auto" w:sz="4" w:space="0"/>
              <w:right w:val="single" w:color="auto" w:sz="4" w:space="0"/>
            </w:tcBorders>
            <w:vAlign w:val="center"/>
          </w:tcPr>
          <w:p w14:paraId="6871DBEA">
            <w:pPr>
              <w:spacing w:line="240" w:lineRule="exact"/>
              <w:jc w:val="center"/>
              <w:rPr>
                <w:rFonts w:hint="default" w:ascii="Times New Roman" w:hAnsi="Times New Roman" w:eastAsia="华文中宋" w:cs="Times New Roman"/>
                <w:color w:val="000000"/>
                <w:sz w:val="24"/>
                <w:lang w:val="en-US" w:eastAsia="zh-CN"/>
              </w:rPr>
            </w:pPr>
            <w:r>
              <w:rPr>
                <w:rFonts w:hint="eastAsia" w:ascii="Times New Roman" w:hAnsi="Times New Roman" w:eastAsia="仿宋" w:cs="Times New Roman"/>
                <w:color w:val="000000"/>
                <w:lang w:val="en-US" w:eastAsia="zh-CN"/>
              </w:rPr>
              <w:t>中国吉林网</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2DB2CAF9">
            <w:pPr>
              <w:spacing w:line="320" w:lineRule="exact"/>
              <w:jc w:val="center"/>
              <w:rPr>
                <w:rFonts w:ascii="Times New Roman" w:hAnsi="Times New Roman" w:eastAsia="华文中宋" w:cs="Times New Roman"/>
                <w:color w:val="000000"/>
                <w:sz w:val="22"/>
                <w:szCs w:val="22"/>
              </w:rPr>
            </w:pPr>
            <w:r>
              <w:rPr>
                <w:rFonts w:ascii="Times New Roman" w:hAnsi="Times New Roman" w:eastAsia="华文中宋" w:cs="Times New Roman"/>
                <w:color w:val="000000"/>
                <w:sz w:val="22"/>
                <w:szCs w:val="22"/>
              </w:rPr>
              <w:t>发布端/账号/</w:t>
            </w:r>
          </w:p>
          <w:p w14:paraId="76319D3B">
            <w:pPr>
              <w:spacing w:line="320" w:lineRule="exact"/>
              <w:jc w:val="center"/>
              <w:rPr>
                <w:rFonts w:ascii="Times New Roman" w:hAnsi="Times New Roman" w:eastAsia="华文中宋" w:cs="Times New Roman"/>
                <w:color w:val="000000"/>
                <w:sz w:val="22"/>
                <w:szCs w:val="22"/>
              </w:rPr>
            </w:pPr>
            <w:r>
              <w:rPr>
                <w:rFonts w:ascii="Times New Roman" w:hAnsi="Times New Roman" w:eastAsia="华文中宋" w:cs="Times New Roman"/>
                <w:color w:val="000000"/>
                <w:sz w:val="22"/>
                <w:szCs w:val="22"/>
              </w:rPr>
              <w:t>媒体名称</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3A22C89C">
            <w:pPr>
              <w:spacing w:line="260" w:lineRule="exact"/>
              <w:jc w:val="center"/>
              <w:rPr>
                <w:rFonts w:hint="default" w:ascii="Times New Roman" w:hAnsi="Times New Roman" w:eastAsia="仿宋_GB2312" w:cs="Times New Roman"/>
                <w:color w:val="000000"/>
                <w:sz w:val="11"/>
                <w:szCs w:val="11"/>
                <w:lang w:val="en-US" w:eastAsia="zh-CN"/>
              </w:rPr>
            </w:pPr>
            <w:r>
              <w:rPr>
                <w:rFonts w:hint="eastAsia" w:ascii="Times New Roman" w:hAnsi="Times New Roman" w:eastAsia="仿宋" w:cs="Times New Roman"/>
                <w:color w:val="000000"/>
                <w:lang w:val="en-US" w:eastAsia="zh-CN"/>
              </w:rPr>
              <w:t>吉刻APP</w:t>
            </w:r>
          </w:p>
        </w:tc>
      </w:tr>
      <w:tr w14:paraId="1F211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14:paraId="6A84B25E">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w:t>
            </w:r>
          </w:p>
          <w:p w14:paraId="527836EB">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频率频道</w:t>
            </w:r>
          </w:p>
        </w:tc>
        <w:tc>
          <w:tcPr>
            <w:tcW w:w="3684" w:type="dxa"/>
            <w:gridSpan w:val="6"/>
            <w:tcBorders>
              <w:top w:val="single" w:color="auto" w:sz="4" w:space="0"/>
              <w:left w:val="single" w:color="auto" w:sz="4" w:space="0"/>
              <w:bottom w:val="single" w:color="auto" w:sz="4" w:space="0"/>
              <w:right w:val="single" w:color="auto" w:sz="4" w:space="0"/>
            </w:tcBorders>
            <w:vAlign w:val="center"/>
          </w:tcPr>
          <w:p w14:paraId="3FDC462C">
            <w:pPr>
              <w:spacing w:line="240" w:lineRule="exact"/>
              <w:jc w:val="center"/>
              <w:rPr>
                <w:rFonts w:hint="default" w:ascii="Times New Roman" w:hAnsi="Times New Roman" w:eastAsia="华文中宋" w:cs="Times New Roman"/>
                <w:color w:val="000000"/>
                <w:sz w:val="24"/>
                <w:lang w:val="en-US" w:eastAsia="zh-CN"/>
              </w:rPr>
            </w:pP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01B36368">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刊播日期</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59F686D2">
            <w:pPr>
              <w:spacing w:line="260" w:lineRule="exact"/>
              <w:jc w:val="center"/>
              <w:rPr>
                <w:rFonts w:hint="eastAsia" w:ascii="Times New Roman" w:hAnsi="Times New Roman" w:cs="Times New Roman" w:eastAsiaTheme="minorEastAsia"/>
                <w:color w:val="000000"/>
                <w:szCs w:val="21"/>
                <w:lang w:val="en-US" w:eastAsia="zh-CN"/>
              </w:rPr>
            </w:pPr>
            <w:r>
              <w:rPr>
                <w:rFonts w:hint="eastAsia"/>
              </w:rPr>
              <w:t>2024</w:t>
            </w:r>
            <w:r>
              <w:rPr>
                <w:rFonts w:hint="eastAsia"/>
                <w:lang w:eastAsia="zh-CN"/>
              </w:rPr>
              <w:t>年</w:t>
            </w:r>
            <w:r>
              <w:rPr>
                <w:rFonts w:hint="eastAsia"/>
              </w:rPr>
              <w:t>3</w:t>
            </w:r>
            <w:r>
              <w:rPr>
                <w:rFonts w:hint="eastAsia"/>
                <w:lang w:eastAsia="zh-CN"/>
              </w:rPr>
              <w:t>月</w:t>
            </w:r>
            <w:r>
              <w:rPr>
                <w:rFonts w:hint="eastAsia"/>
              </w:rPr>
              <w:t>1</w:t>
            </w:r>
            <w:r>
              <w:rPr>
                <w:rFonts w:hint="eastAsia"/>
                <w:lang w:val="en-US" w:eastAsia="zh-CN"/>
              </w:rPr>
              <w:t>0日</w:t>
            </w:r>
          </w:p>
        </w:tc>
      </w:tr>
      <w:tr w14:paraId="0C44E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14:paraId="42CA08E8">
            <w:pPr>
              <w:spacing w:line="320" w:lineRule="exact"/>
              <w:jc w:val="center"/>
              <w:rPr>
                <w:rFonts w:ascii="Times New Roman" w:hAnsi="Times New Roman" w:eastAsia="华文中宋" w:cs="Times New Roman"/>
                <w:bCs/>
                <w:color w:val="000000"/>
                <w:sz w:val="28"/>
                <w:szCs w:val="28"/>
              </w:rPr>
            </w:pPr>
            <w:r>
              <w:rPr>
                <w:rFonts w:ascii="Times New Roman" w:hAnsi="Times New Roman" w:eastAsia="华文中宋" w:cs="Times New Roman"/>
                <w:bCs/>
                <w:color w:val="000000"/>
                <w:sz w:val="28"/>
                <w:szCs w:val="28"/>
              </w:rPr>
              <w:t>新媒体</w:t>
            </w:r>
          </w:p>
          <w:p w14:paraId="141AC9C4">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bCs/>
                <w:color w:val="000000"/>
                <w:sz w:val="28"/>
                <w:szCs w:val="28"/>
              </w:rPr>
              <w:t>作品网址</w:t>
            </w:r>
          </w:p>
        </w:tc>
        <w:tc>
          <w:tcPr>
            <w:tcW w:w="3684" w:type="dxa"/>
            <w:gridSpan w:val="6"/>
            <w:tcBorders>
              <w:top w:val="single" w:color="auto" w:sz="4" w:space="0"/>
              <w:left w:val="single" w:color="auto" w:sz="4" w:space="0"/>
              <w:bottom w:val="single" w:color="auto" w:sz="4" w:space="0"/>
              <w:right w:val="single" w:color="auto" w:sz="4" w:space="0"/>
            </w:tcBorders>
            <w:vAlign w:val="center"/>
          </w:tcPr>
          <w:p w14:paraId="0E94B7B6">
            <w:pPr>
              <w:spacing w:line="440" w:lineRule="exact"/>
              <w:jc w:val="left"/>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1"/>
                <w:szCs w:val="21"/>
              </w:rPr>
              <w:t>https://news.cnjiwang.com/jlxwdt/sn/202403/3828661.html#24102</w:t>
            </w:r>
          </w:p>
        </w:tc>
        <w:tc>
          <w:tcPr>
            <w:tcW w:w="1843" w:type="dxa"/>
            <w:gridSpan w:val="4"/>
            <w:tcBorders>
              <w:top w:val="single" w:color="auto" w:sz="4" w:space="0"/>
              <w:left w:val="single" w:color="auto" w:sz="4" w:space="0"/>
              <w:bottom w:val="single" w:color="auto" w:sz="4" w:space="0"/>
              <w:right w:val="single" w:color="auto" w:sz="4" w:space="0"/>
            </w:tcBorders>
            <w:vAlign w:val="center"/>
          </w:tcPr>
          <w:p w14:paraId="61E45D4B">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是否为</w:t>
            </w:r>
          </w:p>
          <w:p w14:paraId="480C20EB">
            <w:pPr>
              <w:spacing w:line="320" w:lineRule="exact"/>
              <w:jc w:val="center"/>
              <w:rPr>
                <w:rFonts w:ascii="Times New Roman" w:hAnsi="Times New Roman" w:eastAsia="仿宋_GB2312" w:cs="Times New Roman"/>
                <w:color w:val="000000"/>
                <w:sz w:val="28"/>
                <w:szCs w:val="28"/>
              </w:rPr>
            </w:pPr>
            <w:r>
              <w:rPr>
                <w:rFonts w:ascii="Times New Roman" w:hAnsi="Times New Roman" w:eastAsia="华文中宋" w:cs="Times New Roman"/>
                <w:color w:val="000000"/>
                <w:sz w:val="28"/>
                <w:szCs w:val="28"/>
              </w:rPr>
              <w:t>“三好作品”</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1182B481">
            <w:pPr>
              <w:spacing w:line="440" w:lineRule="exact"/>
              <w:jc w:val="left"/>
              <w:rPr>
                <w:rFonts w:ascii="Times New Roman" w:hAnsi="Times New Roman" w:eastAsia="仿宋_GB2312" w:cs="Times New Roman"/>
                <w:color w:val="000000"/>
                <w:sz w:val="28"/>
                <w:szCs w:val="28"/>
              </w:rPr>
            </w:pPr>
          </w:p>
        </w:tc>
      </w:tr>
      <w:tr w14:paraId="6847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5"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14:paraId="614B23A0">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 xml:space="preserve">  ︵</w:t>
            </w:r>
          </w:p>
          <w:p w14:paraId="428A7E56">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采作</w:t>
            </w:r>
          </w:p>
          <w:p w14:paraId="367C914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编品</w:t>
            </w:r>
          </w:p>
          <w:p w14:paraId="26C3149C">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过简</w:t>
            </w:r>
          </w:p>
          <w:p w14:paraId="074102E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程介</w:t>
            </w:r>
          </w:p>
          <w:p w14:paraId="04A14DA3">
            <w:pPr>
              <w:spacing w:line="340" w:lineRule="exact"/>
              <w:jc w:val="center"/>
              <w:rPr>
                <w:rFonts w:ascii="Times New Roman" w:hAnsi="Times New Roman" w:eastAsia="华文中宋" w:cs="Times New Roman"/>
                <w:color w:val="000000"/>
                <w:sz w:val="24"/>
              </w:rPr>
            </w:pPr>
            <w:r>
              <w:rPr>
                <w:rFonts w:ascii="Times New Roman" w:hAnsi="Times New Roman" w:eastAsia="华文中宋" w:cs="Times New Roman"/>
                <w:color w:val="000000"/>
                <w:sz w:val="28"/>
                <w:szCs w:val="28"/>
              </w:rPr>
              <w:t xml:space="preserve">  ︶</w:t>
            </w:r>
          </w:p>
        </w:tc>
        <w:tc>
          <w:tcPr>
            <w:tcW w:w="8148" w:type="dxa"/>
            <w:gridSpan w:val="14"/>
            <w:tcBorders>
              <w:top w:val="single" w:color="auto" w:sz="4" w:space="0"/>
              <w:left w:val="single" w:color="auto" w:sz="4" w:space="0"/>
              <w:bottom w:val="single" w:color="auto" w:sz="4" w:space="0"/>
              <w:right w:val="single" w:color="auto" w:sz="4" w:space="0"/>
            </w:tcBorders>
            <w:vAlign w:val="center"/>
          </w:tcPr>
          <w:p w14:paraId="380DF99D">
            <w:pPr>
              <w:ind w:firstLine="480" w:firstLineChars="200"/>
              <w:rPr>
                <w:rFonts w:ascii="Times New Roman" w:hAnsi="Times New Roman" w:eastAsia="仿宋_GB2312" w:cs="Times New Roman"/>
                <w:color w:val="000000"/>
                <w:sz w:val="28"/>
                <w:szCs w:val="28"/>
              </w:rPr>
            </w:pPr>
            <w:r>
              <w:rPr>
                <w:rFonts w:hint="eastAsia" w:ascii="Times New Roman" w:hAnsi="Times New Roman" w:eastAsia="仿宋" w:cs="Times New Roman"/>
                <w:color w:val="000000"/>
                <w:sz w:val="24"/>
              </w:rPr>
              <w:t>2024 年全国两会，东北全面振兴战略推进至关键节点，成为社会各界瞩目的焦点。中国吉林网记者为深入挖掘东北振兴的核心议题，做了大量前期准备工作。通过广泛收集 20 年来东北振兴的政策文件、经济数据、学术研究成果等资料，深入分析东北在产业、人才、环境等多方面的发展现状与困境。基于扎实的资料研究，记者精心拟定涵盖东北振兴成效、面临挑战、破局思路等多维度的采访提纲。在采访过程中，记者与邴正教授围绕提纲展开深度对话，针对每个关键问题不断追问，引导教授充分阐述专业观点。访谈结束后，记者对采访素材进行细致筛选与整理，精准提炼核心观点，精心谋篇布局，以清晰的逻辑架构呈现访谈内容，全面展现东北振兴战略的过去、现在与未来，为读者奉献出高质量的访谈报道。</w:t>
            </w:r>
          </w:p>
        </w:tc>
      </w:tr>
      <w:tr w14:paraId="4597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6"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14:paraId="24EA0E7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社</w:t>
            </w:r>
          </w:p>
          <w:p w14:paraId="33D938B5">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会</w:t>
            </w:r>
          </w:p>
          <w:p w14:paraId="2306777F">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效</w:t>
            </w:r>
          </w:p>
          <w:p w14:paraId="1112DE5A">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果</w:t>
            </w:r>
          </w:p>
        </w:tc>
        <w:tc>
          <w:tcPr>
            <w:tcW w:w="8148" w:type="dxa"/>
            <w:gridSpan w:val="14"/>
            <w:tcBorders>
              <w:top w:val="single" w:color="auto" w:sz="4" w:space="0"/>
              <w:left w:val="single" w:color="auto" w:sz="4" w:space="0"/>
              <w:bottom w:val="single" w:color="auto" w:sz="4" w:space="0"/>
              <w:right w:val="single" w:color="auto" w:sz="4" w:space="0"/>
            </w:tcBorders>
            <w:vAlign w:val="center"/>
          </w:tcPr>
          <w:p w14:paraId="789A035B">
            <w:pPr>
              <w:ind w:firstLine="480" w:firstLineChars="200"/>
              <w:rPr>
                <w:rFonts w:ascii="Times New Roman" w:hAnsi="Times New Roman" w:eastAsia="仿宋" w:cs="Times New Roman"/>
                <w:color w:val="000000"/>
                <w:sz w:val="24"/>
              </w:rPr>
            </w:pPr>
            <w:r>
              <w:rPr>
                <w:rFonts w:hint="eastAsia" w:ascii="Times New Roman" w:hAnsi="Times New Roman" w:eastAsia="仿宋" w:cs="Times New Roman"/>
                <w:color w:val="000000"/>
                <w:sz w:val="24"/>
              </w:rPr>
              <w:t>作品刊播正值东北振兴战略实施第三个十年的开局之际，其影响广泛且深远。在东北地区，无论是政府部门、企业界，还是普通民众，都对访谈内容高度关注。政府部门依据其中的观点和建议，为制定更具针对性的振兴政策提供参考；企业界从中获取产业转型思路，积极调整发展战略。在全国范围内，该访谈引发了社会各界对东北振兴战略的深入思考，提升了东北发展的关注度，吸引了更多外部资源和人才聚焦东北。同时，也为其他地区的经济转型和发展提供了可借鉴的思路，在推动区域协调发展方面发挥了积极作用，有力地凝聚了全社会助力东北振兴的共识与力量。</w:t>
            </w:r>
          </w:p>
        </w:tc>
      </w:tr>
      <w:tr w14:paraId="0F682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2"/>
            <w:vMerge w:val="restart"/>
            <w:tcBorders>
              <w:top w:val="single" w:color="auto" w:sz="4" w:space="0"/>
              <w:left w:val="single" w:color="auto" w:sz="4" w:space="0"/>
              <w:bottom w:val="single" w:color="auto" w:sz="4" w:space="0"/>
              <w:right w:val="single" w:color="auto" w:sz="4" w:space="0"/>
            </w:tcBorders>
            <w:vAlign w:val="center"/>
          </w:tcPr>
          <w:p w14:paraId="465C89DF">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传</w:t>
            </w:r>
          </w:p>
          <w:p w14:paraId="305E222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播</w:t>
            </w:r>
          </w:p>
          <w:p w14:paraId="080327D6">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数</w:t>
            </w:r>
          </w:p>
          <w:p w14:paraId="5755DD9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据</w:t>
            </w:r>
          </w:p>
        </w:tc>
        <w:tc>
          <w:tcPr>
            <w:tcW w:w="1494" w:type="dxa"/>
            <w:gridSpan w:val="3"/>
            <w:vMerge w:val="restart"/>
            <w:tcBorders>
              <w:top w:val="single" w:color="auto" w:sz="4" w:space="0"/>
              <w:left w:val="single" w:color="auto" w:sz="4" w:space="0"/>
              <w:bottom w:val="single" w:color="auto" w:sz="4" w:space="0"/>
              <w:right w:val="single" w:color="auto" w:sz="4" w:space="0"/>
            </w:tcBorders>
            <w:vAlign w:val="center"/>
          </w:tcPr>
          <w:p w14:paraId="28B4DA56">
            <w:pPr>
              <w:jc w:val="center"/>
              <w:rPr>
                <w:rFonts w:ascii="Times New Roman" w:hAnsi="Times New Roman" w:eastAsia="仿宋" w:cs="Times New Roman"/>
                <w:color w:val="000000"/>
                <w:spacing w:val="-10"/>
                <w:sz w:val="24"/>
              </w:rPr>
            </w:pPr>
            <w:r>
              <w:rPr>
                <w:rFonts w:ascii="Times New Roman" w:hAnsi="Times New Roman" w:eastAsia="仿宋" w:cs="Times New Roman"/>
                <w:color w:val="000000"/>
                <w:spacing w:val="-10"/>
                <w:sz w:val="24"/>
              </w:rPr>
              <w:t>新媒体传播</w:t>
            </w:r>
          </w:p>
          <w:p w14:paraId="68C31F8D">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平台网址</w:t>
            </w:r>
          </w:p>
        </w:tc>
        <w:tc>
          <w:tcPr>
            <w:tcW w:w="453" w:type="dxa"/>
            <w:tcBorders>
              <w:top w:val="single" w:color="auto" w:sz="4" w:space="0"/>
              <w:left w:val="single" w:color="auto" w:sz="4" w:space="0"/>
              <w:bottom w:val="single" w:color="auto" w:sz="4" w:space="0"/>
              <w:right w:val="single" w:color="auto" w:sz="4" w:space="0"/>
            </w:tcBorders>
            <w:vAlign w:val="center"/>
          </w:tcPr>
          <w:p w14:paraId="5219C631">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1</w:t>
            </w:r>
          </w:p>
        </w:tc>
        <w:tc>
          <w:tcPr>
            <w:tcW w:w="6201" w:type="dxa"/>
            <w:gridSpan w:val="10"/>
            <w:tcBorders>
              <w:top w:val="single" w:color="auto" w:sz="4" w:space="0"/>
              <w:left w:val="single" w:color="auto" w:sz="4" w:space="0"/>
              <w:bottom w:val="single" w:color="auto" w:sz="4" w:space="0"/>
              <w:right w:val="single" w:color="auto" w:sz="4" w:space="0"/>
            </w:tcBorders>
            <w:vAlign w:val="center"/>
          </w:tcPr>
          <w:p w14:paraId="746E7BEB">
            <w:pPr>
              <w:rPr>
                <w:rFonts w:ascii="Times New Roman" w:hAnsi="Times New Roman" w:eastAsia="仿宋" w:cs="Times New Roman"/>
                <w:color w:val="000000"/>
                <w:szCs w:val="21"/>
              </w:rPr>
            </w:pPr>
            <w:r>
              <w:rPr>
                <w:rFonts w:hint="eastAsia" w:ascii="Times New Roman" w:hAnsi="Times New Roman" w:eastAsia="仿宋" w:cs="Times New Roman"/>
                <w:color w:val="000000"/>
                <w:szCs w:val="21"/>
              </w:rPr>
              <w:t>https://news.cnjiwang.com/jlxwdt/sn/202403/3828661.html#24102</w:t>
            </w:r>
          </w:p>
        </w:tc>
      </w:tr>
      <w:tr w14:paraId="31936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14:paraId="29E6973F">
            <w:pPr>
              <w:widowControl/>
              <w:jc w:val="left"/>
              <w:rPr>
                <w:rFonts w:ascii="Times New Roman" w:hAnsi="Times New Roman" w:eastAsia="华文中宋" w:cs="Times New Roman"/>
                <w:color w:val="000000"/>
                <w:sz w:val="28"/>
                <w:szCs w:val="28"/>
              </w:rPr>
            </w:pPr>
          </w:p>
        </w:tc>
        <w:tc>
          <w:tcPr>
            <w:tcW w:w="1494" w:type="dxa"/>
            <w:gridSpan w:val="3"/>
            <w:vMerge w:val="continue"/>
            <w:tcBorders>
              <w:top w:val="single" w:color="auto" w:sz="4" w:space="0"/>
              <w:left w:val="single" w:color="auto" w:sz="4" w:space="0"/>
              <w:bottom w:val="single" w:color="auto" w:sz="4" w:space="0"/>
              <w:right w:val="single" w:color="auto" w:sz="4" w:space="0"/>
            </w:tcBorders>
            <w:vAlign w:val="center"/>
          </w:tcPr>
          <w:p w14:paraId="5AE4B0B0">
            <w:pPr>
              <w:widowControl/>
              <w:jc w:val="left"/>
              <w:rPr>
                <w:rFonts w:ascii="Times New Roman" w:hAnsi="Times New Roman" w:eastAsia="仿宋" w:cs="Times New Roman"/>
                <w:color w:val="000000"/>
                <w:sz w:val="24"/>
              </w:rPr>
            </w:pPr>
          </w:p>
        </w:tc>
        <w:tc>
          <w:tcPr>
            <w:tcW w:w="453" w:type="dxa"/>
            <w:tcBorders>
              <w:top w:val="single" w:color="auto" w:sz="4" w:space="0"/>
              <w:left w:val="single" w:color="auto" w:sz="4" w:space="0"/>
              <w:bottom w:val="single" w:color="auto" w:sz="4" w:space="0"/>
              <w:right w:val="single" w:color="auto" w:sz="4" w:space="0"/>
            </w:tcBorders>
            <w:vAlign w:val="center"/>
          </w:tcPr>
          <w:p w14:paraId="678A8051">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2</w:t>
            </w:r>
          </w:p>
        </w:tc>
        <w:tc>
          <w:tcPr>
            <w:tcW w:w="6201" w:type="dxa"/>
            <w:gridSpan w:val="10"/>
            <w:tcBorders>
              <w:top w:val="single" w:color="auto" w:sz="4" w:space="0"/>
              <w:left w:val="single" w:color="auto" w:sz="4" w:space="0"/>
              <w:bottom w:val="single" w:color="auto" w:sz="4" w:space="0"/>
              <w:right w:val="single" w:color="auto" w:sz="4" w:space="0"/>
            </w:tcBorders>
            <w:vAlign w:val="center"/>
          </w:tcPr>
          <w:p w14:paraId="68F20D79">
            <w:pPr>
              <w:rPr>
                <w:rFonts w:ascii="Times New Roman" w:hAnsi="Times New Roman" w:eastAsia="仿宋" w:cs="Times New Roman"/>
                <w:color w:val="000000"/>
                <w:szCs w:val="21"/>
              </w:rPr>
            </w:pPr>
          </w:p>
        </w:tc>
      </w:tr>
      <w:tr w14:paraId="25C5C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14:paraId="620D1FC2">
            <w:pPr>
              <w:widowControl/>
              <w:jc w:val="left"/>
              <w:rPr>
                <w:rFonts w:ascii="Times New Roman" w:hAnsi="Times New Roman" w:eastAsia="华文中宋" w:cs="Times New Roman"/>
                <w:color w:val="000000"/>
                <w:sz w:val="28"/>
                <w:szCs w:val="28"/>
              </w:rPr>
            </w:pPr>
          </w:p>
        </w:tc>
        <w:tc>
          <w:tcPr>
            <w:tcW w:w="1494" w:type="dxa"/>
            <w:gridSpan w:val="3"/>
            <w:vMerge w:val="continue"/>
            <w:tcBorders>
              <w:top w:val="single" w:color="auto" w:sz="4" w:space="0"/>
              <w:left w:val="single" w:color="auto" w:sz="4" w:space="0"/>
              <w:bottom w:val="single" w:color="auto" w:sz="4" w:space="0"/>
              <w:right w:val="single" w:color="auto" w:sz="4" w:space="0"/>
            </w:tcBorders>
            <w:vAlign w:val="center"/>
          </w:tcPr>
          <w:p w14:paraId="48B8A6E9">
            <w:pPr>
              <w:widowControl/>
              <w:jc w:val="left"/>
              <w:rPr>
                <w:rFonts w:ascii="Times New Roman" w:hAnsi="Times New Roman" w:eastAsia="仿宋" w:cs="Times New Roman"/>
                <w:color w:val="000000"/>
                <w:sz w:val="24"/>
              </w:rPr>
            </w:pPr>
          </w:p>
        </w:tc>
        <w:tc>
          <w:tcPr>
            <w:tcW w:w="453" w:type="dxa"/>
            <w:tcBorders>
              <w:top w:val="single" w:color="auto" w:sz="4" w:space="0"/>
              <w:left w:val="single" w:color="auto" w:sz="4" w:space="0"/>
              <w:bottom w:val="single" w:color="auto" w:sz="4" w:space="0"/>
              <w:right w:val="single" w:color="auto" w:sz="4" w:space="0"/>
            </w:tcBorders>
            <w:vAlign w:val="center"/>
          </w:tcPr>
          <w:p w14:paraId="6806D9E2">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3</w:t>
            </w:r>
          </w:p>
        </w:tc>
        <w:tc>
          <w:tcPr>
            <w:tcW w:w="6201" w:type="dxa"/>
            <w:gridSpan w:val="10"/>
            <w:tcBorders>
              <w:top w:val="single" w:color="auto" w:sz="4" w:space="0"/>
              <w:left w:val="single" w:color="auto" w:sz="4" w:space="0"/>
              <w:bottom w:val="single" w:color="auto" w:sz="4" w:space="0"/>
              <w:right w:val="single" w:color="auto" w:sz="4" w:space="0"/>
            </w:tcBorders>
            <w:vAlign w:val="center"/>
          </w:tcPr>
          <w:p w14:paraId="703A590F">
            <w:pPr>
              <w:rPr>
                <w:rFonts w:ascii="Times New Roman" w:hAnsi="Times New Roman" w:eastAsia="仿宋" w:cs="Times New Roman"/>
                <w:color w:val="000000"/>
                <w:szCs w:val="21"/>
              </w:rPr>
            </w:pPr>
          </w:p>
        </w:tc>
      </w:tr>
      <w:tr w14:paraId="686E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14:paraId="3A3977D0">
            <w:pPr>
              <w:widowControl/>
              <w:jc w:val="left"/>
              <w:rPr>
                <w:rFonts w:ascii="Times New Roman" w:hAnsi="Times New Roman" w:eastAsia="华文中宋" w:cs="Times New Roman"/>
                <w:color w:val="000000"/>
                <w:sz w:val="28"/>
                <w:szCs w:val="28"/>
              </w:rPr>
            </w:pPr>
          </w:p>
        </w:tc>
        <w:tc>
          <w:tcPr>
            <w:tcW w:w="1494" w:type="dxa"/>
            <w:gridSpan w:val="3"/>
            <w:tcBorders>
              <w:top w:val="single" w:color="auto" w:sz="4" w:space="0"/>
              <w:left w:val="single" w:color="auto" w:sz="4" w:space="0"/>
              <w:bottom w:val="single" w:color="auto" w:sz="4" w:space="0"/>
              <w:right w:val="single" w:color="auto" w:sz="4" w:space="0"/>
            </w:tcBorders>
            <w:vAlign w:val="center"/>
          </w:tcPr>
          <w:p w14:paraId="758E0BDB">
            <w:pPr>
              <w:spacing w:line="280" w:lineRule="exact"/>
              <w:rPr>
                <w:rFonts w:ascii="Times New Roman" w:hAnsi="Times New Roman" w:eastAsia="仿宋" w:cs="Times New Roman"/>
                <w:color w:val="000000"/>
                <w:sz w:val="22"/>
                <w:szCs w:val="22"/>
              </w:rPr>
            </w:pPr>
            <w:r>
              <w:rPr>
                <w:rFonts w:ascii="Times New Roman" w:hAnsi="Times New Roman" w:eastAsia="仿宋" w:cs="Times New Roman"/>
                <w:color w:val="000000"/>
              </w:rPr>
              <w:t>阅读量（浏览量、点击量）</w:t>
            </w:r>
          </w:p>
        </w:tc>
        <w:tc>
          <w:tcPr>
            <w:tcW w:w="1974" w:type="dxa"/>
            <w:gridSpan w:val="4"/>
            <w:tcBorders>
              <w:top w:val="single" w:color="auto" w:sz="4" w:space="0"/>
              <w:left w:val="single" w:color="auto" w:sz="4" w:space="0"/>
              <w:bottom w:val="single" w:color="auto" w:sz="4" w:space="0"/>
              <w:right w:val="single" w:color="auto" w:sz="4" w:space="0"/>
            </w:tcBorders>
            <w:vAlign w:val="center"/>
          </w:tcPr>
          <w:p w14:paraId="0DF308D9">
            <w:pPr>
              <w:spacing w:line="280" w:lineRule="exact"/>
              <w:rPr>
                <w:rFonts w:hint="default" w:ascii="Times New Roman" w:hAnsi="Times New Roman" w:eastAsia="仿宋" w:cs="Times New Roman"/>
                <w:color w:val="000000"/>
                <w:sz w:val="22"/>
                <w:szCs w:val="22"/>
                <w:lang w:val="en-US" w:eastAsia="zh-CN"/>
              </w:rPr>
            </w:pPr>
            <w:r>
              <w:rPr>
                <w:rFonts w:hint="eastAsia" w:ascii="Times New Roman" w:hAnsi="Times New Roman" w:eastAsia="仿宋" w:cs="Times New Roman"/>
                <w:color w:val="000000"/>
                <w:sz w:val="22"/>
                <w:szCs w:val="22"/>
                <w:lang w:val="en-US" w:eastAsia="zh-CN"/>
              </w:rPr>
              <w:t>52万</w:t>
            </w:r>
          </w:p>
        </w:tc>
        <w:tc>
          <w:tcPr>
            <w:tcW w:w="969" w:type="dxa"/>
            <w:gridSpan w:val="2"/>
            <w:tcBorders>
              <w:top w:val="single" w:color="auto" w:sz="4" w:space="0"/>
              <w:left w:val="single" w:color="auto" w:sz="4" w:space="0"/>
              <w:bottom w:val="single" w:color="auto" w:sz="4" w:space="0"/>
              <w:right w:val="single" w:color="auto" w:sz="4" w:space="0"/>
            </w:tcBorders>
            <w:vAlign w:val="center"/>
          </w:tcPr>
          <w:p w14:paraId="5B0D5979">
            <w:pPr>
              <w:spacing w:line="280" w:lineRule="exact"/>
              <w:rPr>
                <w:rFonts w:ascii="Times New Roman" w:hAnsi="Times New Roman" w:eastAsia="仿宋" w:cs="Times New Roman"/>
                <w:color w:val="000000"/>
                <w:sz w:val="22"/>
                <w:szCs w:val="22"/>
              </w:rPr>
            </w:pPr>
            <w:r>
              <w:rPr>
                <w:rFonts w:ascii="Times New Roman" w:hAnsi="Times New Roman" w:eastAsia="仿宋" w:cs="Times New Roman"/>
                <w:color w:val="000000"/>
                <w:sz w:val="22"/>
                <w:szCs w:val="22"/>
              </w:rPr>
              <w:t>转载量</w:t>
            </w:r>
          </w:p>
        </w:tc>
        <w:tc>
          <w:tcPr>
            <w:tcW w:w="1575" w:type="dxa"/>
            <w:gridSpan w:val="2"/>
            <w:tcBorders>
              <w:top w:val="single" w:color="auto" w:sz="4" w:space="0"/>
              <w:left w:val="single" w:color="auto" w:sz="4" w:space="0"/>
              <w:bottom w:val="single" w:color="auto" w:sz="4" w:space="0"/>
              <w:right w:val="single" w:color="auto" w:sz="4" w:space="0"/>
            </w:tcBorders>
            <w:vAlign w:val="center"/>
          </w:tcPr>
          <w:p w14:paraId="70C4E870">
            <w:pPr>
              <w:spacing w:line="280" w:lineRule="exact"/>
              <w:rPr>
                <w:rFonts w:hint="default" w:ascii="Times New Roman" w:hAnsi="Times New Roman" w:eastAsia="仿宋" w:cs="Times New Roman"/>
                <w:color w:val="000000"/>
                <w:szCs w:val="21"/>
                <w:lang w:val="en-US" w:eastAsia="zh-CN"/>
              </w:rPr>
            </w:pPr>
            <w:r>
              <w:rPr>
                <w:rFonts w:hint="eastAsia" w:ascii="Times New Roman" w:hAnsi="Times New Roman" w:eastAsia="仿宋" w:cs="Times New Roman"/>
                <w:color w:val="000000"/>
                <w:szCs w:val="21"/>
                <w:lang w:val="en-US" w:eastAsia="zh-CN"/>
              </w:rPr>
              <w:t>23万</w:t>
            </w: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55F027ED">
            <w:pPr>
              <w:spacing w:line="280" w:lineRule="exact"/>
              <w:rPr>
                <w:rFonts w:ascii="Times New Roman" w:hAnsi="Times New Roman" w:eastAsia="仿宋" w:cs="Times New Roman"/>
                <w:color w:val="000000"/>
                <w:szCs w:val="21"/>
              </w:rPr>
            </w:pPr>
            <w:r>
              <w:rPr>
                <w:rFonts w:ascii="Times New Roman" w:hAnsi="Times New Roman" w:eastAsia="仿宋" w:cs="Times New Roman"/>
                <w:color w:val="000000"/>
                <w:sz w:val="22"/>
                <w:szCs w:val="22"/>
              </w:rPr>
              <w:t>互动量</w:t>
            </w:r>
          </w:p>
        </w:tc>
        <w:tc>
          <w:tcPr>
            <w:tcW w:w="1144" w:type="dxa"/>
            <w:tcBorders>
              <w:top w:val="single" w:color="auto" w:sz="4" w:space="0"/>
              <w:left w:val="single" w:color="auto" w:sz="4" w:space="0"/>
              <w:bottom w:val="single" w:color="auto" w:sz="4" w:space="0"/>
              <w:right w:val="single" w:color="auto" w:sz="4" w:space="0"/>
            </w:tcBorders>
            <w:vAlign w:val="center"/>
          </w:tcPr>
          <w:p w14:paraId="4ACA9F23">
            <w:pPr>
              <w:spacing w:line="280" w:lineRule="exact"/>
              <w:rPr>
                <w:rFonts w:hint="default" w:ascii="Times New Roman" w:hAnsi="Times New Roman" w:eastAsia="仿宋" w:cs="Times New Roman"/>
                <w:color w:val="000000"/>
                <w:szCs w:val="21"/>
                <w:lang w:val="en-US" w:eastAsia="zh-CN"/>
              </w:rPr>
            </w:pPr>
            <w:r>
              <w:rPr>
                <w:rFonts w:hint="eastAsia" w:ascii="Times New Roman" w:hAnsi="Times New Roman" w:eastAsia="仿宋" w:cs="Times New Roman"/>
                <w:color w:val="000000"/>
                <w:szCs w:val="21"/>
                <w:lang w:val="en-US" w:eastAsia="zh-CN"/>
              </w:rPr>
              <w:t>1.5万</w:t>
            </w:r>
          </w:p>
        </w:tc>
      </w:tr>
      <w:tr w14:paraId="1781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3"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14:paraId="28B40780">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p w14:paraId="4D51DDD3">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初推</w:t>
            </w:r>
          </w:p>
          <w:p w14:paraId="3249080C">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评荐</w:t>
            </w:r>
          </w:p>
          <w:p w14:paraId="37E6D64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评理</w:t>
            </w:r>
          </w:p>
          <w:p w14:paraId="1BD6EF01">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语由</w:t>
            </w:r>
          </w:p>
          <w:p w14:paraId="26D9950A">
            <w:pPr>
              <w:spacing w:line="340" w:lineRule="exact"/>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tc>
        <w:tc>
          <w:tcPr>
            <w:tcW w:w="8148" w:type="dxa"/>
            <w:gridSpan w:val="14"/>
            <w:tcBorders>
              <w:top w:val="single" w:color="auto" w:sz="4" w:space="0"/>
              <w:left w:val="single" w:color="auto" w:sz="4" w:space="0"/>
              <w:bottom w:val="single" w:color="auto" w:sz="4" w:space="0"/>
              <w:right w:val="single" w:color="auto" w:sz="4" w:space="0"/>
            </w:tcBorders>
          </w:tcPr>
          <w:p w14:paraId="26407D9F">
            <w:pPr>
              <w:ind w:firstLine="420"/>
              <w:rPr>
                <w:rFonts w:ascii="Times New Roman" w:hAnsi="Times New Roman" w:eastAsia="仿宋" w:cs="Times New Roman"/>
                <w:szCs w:val="21"/>
              </w:rPr>
            </w:pPr>
          </w:p>
          <w:p w14:paraId="16BF1A64">
            <w:pPr>
              <w:spacing w:line="360" w:lineRule="exact"/>
              <w:rPr>
                <w:rFonts w:hint="eastAsia"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 xml:space="preserve">  </w:t>
            </w:r>
            <w:r>
              <w:rPr>
                <w:rFonts w:hint="eastAsia" w:ascii="Times New Roman" w:hAnsi="Times New Roman" w:eastAsia="仿宋" w:cs="Times New Roman"/>
                <w:sz w:val="24"/>
                <w:szCs w:val="24"/>
              </w:rPr>
              <w:t>聚焦东北振兴这一国家战略，选题极具时代价值和现实意义。访谈对象邴正教授在东北振兴研究领域具有深厚的学术造诣和丰富的实践经验，其观点专业权威、高屋建瓴，为东北振兴提供了深度思考与发展方向。记者凭借专业素养，巧妙引导对话，挖掘出大量有价值的信息。访谈内容全面且深入，从历史成就回顾到现实困境剖析，再到未来发展路径探索，逻辑严谨、层次分明。从社会影响看，作品在东北乃至全国范围内激发了广泛讨论，凝聚了社会共识，为东北振兴战略推进营造了良好氛围，有力地推动了政策制定、企业发展和社会关注。本作品在专业性、思想性和影响力上均表现出色，深度契合东北振兴战略需求，是一篇不可多得的优秀访谈报道，故予以推荐。</w:t>
            </w:r>
          </w:p>
          <w:p w14:paraId="001982C9">
            <w:pPr>
              <w:spacing w:line="360" w:lineRule="exact"/>
              <w:ind w:firstLine="4692" w:firstLineChars="1700"/>
              <w:rPr>
                <w:rFonts w:ascii="Times New Roman" w:hAnsi="Times New Roman" w:eastAsia="华文中宋" w:cs="Times New Roman"/>
                <w:spacing w:val="-2"/>
                <w:sz w:val="28"/>
                <w:szCs w:val="28"/>
              </w:rPr>
            </w:pPr>
          </w:p>
          <w:p w14:paraId="65DF8ECB">
            <w:pPr>
              <w:spacing w:line="360" w:lineRule="exact"/>
              <w:ind w:firstLine="4692" w:firstLineChars="1700"/>
              <w:rPr>
                <w:rFonts w:ascii="Times New Roman" w:hAnsi="Times New Roman" w:eastAsia="华文中宋" w:cs="Times New Roman"/>
                <w:spacing w:val="-2"/>
                <w:sz w:val="28"/>
                <w:szCs w:val="28"/>
              </w:rPr>
            </w:pPr>
          </w:p>
          <w:p w14:paraId="2A840202">
            <w:pPr>
              <w:spacing w:line="360" w:lineRule="exact"/>
              <w:ind w:firstLine="4692" w:firstLineChars="1700"/>
              <w:rPr>
                <w:rFonts w:ascii="Times New Roman" w:hAnsi="Times New Roman" w:eastAsia="华文中宋" w:cs="Times New Roman"/>
                <w:sz w:val="28"/>
                <w:szCs w:val="28"/>
              </w:rPr>
            </w:pPr>
            <w:r>
              <w:rPr>
                <w:rFonts w:ascii="Times New Roman" w:hAnsi="Times New Roman" w:eastAsia="华文中宋" w:cs="Times New Roman"/>
                <w:spacing w:val="-2"/>
                <w:sz w:val="28"/>
                <w:szCs w:val="28"/>
              </w:rPr>
              <w:t>签名：</w:t>
            </w:r>
            <w:r>
              <w:rPr>
                <w:rFonts w:ascii="Times New Roman" w:hAnsi="Times New Roman" w:eastAsia="华文中宋" w:cs="Times New Roman"/>
                <w:sz w:val="28"/>
                <w:szCs w:val="28"/>
              </w:rPr>
              <w:t>（盖单位公章）</w:t>
            </w:r>
          </w:p>
          <w:p w14:paraId="09085C8D">
            <w:pPr>
              <w:ind w:firstLine="4760" w:firstLineChars="1700"/>
              <w:rPr>
                <w:rFonts w:ascii="Times New Roman" w:hAnsi="Times New Roman" w:eastAsia="仿宋" w:cs="Times New Roman"/>
                <w:szCs w:val="21"/>
              </w:rPr>
            </w:pPr>
            <w:r>
              <w:rPr>
                <w:rFonts w:ascii="Times New Roman" w:hAnsi="Times New Roman" w:eastAsia="华文中宋" w:cs="Times New Roman"/>
                <w:sz w:val="28"/>
                <w:szCs w:val="28"/>
              </w:rPr>
              <w:t xml:space="preserve">2025年 </w:t>
            </w:r>
            <w:r>
              <w:rPr>
                <w:rFonts w:hint="eastAsia" w:ascii="Times New Roman" w:hAnsi="Times New Roman" w:eastAsia="华文中宋" w:cs="Times New Roman"/>
                <w:sz w:val="28"/>
                <w:szCs w:val="28"/>
                <w:lang w:val="en-US" w:eastAsia="zh-CN"/>
              </w:rPr>
              <w:t>3</w:t>
            </w:r>
            <w:r>
              <w:rPr>
                <w:rFonts w:ascii="Times New Roman" w:hAnsi="Times New Roman" w:eastAsia="华文中宋" w:cs="Times New Roman"/>
                <w:sz w:val="28"/>
                <w:szCs w:val="28"/>
              </w:rPr>
              <w:t xml:space="preserve"> 月</w:t>
            </w:r>
            <w:r>
              <w:rPr>
                <w:rFonts w:hint="eastAsia" w:ascii="Times New Roman" w:hAnsi="Times New Roman" w:eastAsia="华文中宋" w:cs="Times New Roman"/>
                <w:sz w:val="28"/>
                <w:szCs w:val="28"/>
                <w:lang w:val="en-US" w:eastAsia="zh-CN"/>
              </w:rPr>
              <w:t>24</w:t>
            </w:r>
            <w:r>
              <w:rPr>
                <w:rFonts w:ascii="Times New Roman" w:hAnsi="Times New Roman" w:eastAsia="华文中宋" w:cs="Times New Roman"/>
                <w:sz w:val="28"/>
                <w:szCs w:val="28"/>
              </w:rPr>
              <w:t xml:space="preserve"> 日</w:t>
            </w:r>
          </w:p>
        </w:tc>
      </w:tr>
      <w:tr w14:paraId="32FC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14:paraId="7EEBE954">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联系人</w:t>
            </w:r>
          </w:p>
        </w:tc>
        <w:tc>
          <w:tcPr>
            <w:tcW w:w="2004" w:type="dxa"/>
            <w:gridSpan w:val="4"/>
            <w:tcBorders>
              <w:top w:val="single" w:color="auto" w:sz="4" w:space="0"/>
              <w:left w:val="single" w:color="auto" w:sz="4" w:space="0"/>
              <w:bottom w:val="single" w:color="auto" w:sz="4" w:space="0"/>
              <w:right w:val="single" w:color="auto" w:sz="4" w:space="0"/>
            </w:tcBorders>
            <w:vAlign w:val="center"/>
          </w:tcPr>
          <w:p w14:paraId="5764BC08">
            <w:pPr>
              <w:spacing w:line="240" w:lineRule="exact"/>
              <w:ind w:firstLine="480"/>
              <w:jc w:val="center"/>
              <w:rPr>
                <w:rFonts w:hint="default" w:ascii="Times New Roman" w:hAnsi="Times New Roman" w:eastAsia="华文中宋" w:cs="Times New Roman"/>
                <w:color w:val="000000"/>
                <w:sz w:val="28"/>
                <w:szCs w:val="28"/>
                <w:lang w:val="en-US" w:eastAsia="zh-CN"/>
              </w:rPr>
            </w:pPr>
            <w:r>
              <w:rPr>
                <w:rFonts w:hint="default" w:ascii="Times New Roman" w:hAnsi="Times New Roman" w:eastAsia="华文中宋" w:cs="Times New Roman"/>
                <w:color w:val="000000"/>
                <w:sz w:val="28"/>
                <w:szCs w:val="28"/>
                <w:lang w:val="en-US" w:eastAsia="zh-CN"/>
              </w:rPr>
              <w:t>张杰蔷</w:t>
            </w:r>
          </w:p>
        </w:tc>
        <w:tc>
          <w:tcPr>
            <w:tcW w:w="792" w:type="dxa"/>
            <w:tcBorders>
              <w:top w:val="single" w:color="auto" w:sz="4" w:space="0"/>
              <w:left w:val="single" w:color="auto" w:sz="4" w:space="0"/>
              <w:bottom w:val="single" w:color="auto" w:sz="4" w:space="0"/>
              <w:right w:val="single" w:color="auto" w:sz="4" w:space="0"/>
            </w:tcBorders>
            <w:vAlign w:val="center"/>
          </w:tcPr>
          <w:p w14:paraId="0F2FBD87">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电话</w:t>
            </w:r>
          </w:p>
        </w:tc>
        <w:tc>
          <w:tcPr>
            <w:tcW w:w="1817" w:type="dxa"/>
            <w:gridSpan w:val="4"/>
            <w:tcBorders>
              <w:top w:val="single" w:color="auto" w:sz="4" w:space="0"/>
              <w:left w:val="single" w:color="auto" w:sz="4" w:space="0"/>
              <w:bottom w:val="single" w:color="auto" w:sz="4" w:space="0"/>
              <w:right w:val="single" w:color="auto" w:sz="4" w:space="0"/>
            </w:tcBorders>
            <w:vAlign w:val="center"/>
          </w:tcPr>
          <w:p w14:paraId="451C6438">
            <w:pPr>
              <w:spacing w:line="240" w:lineRule="exact"/>
              <w:jc w:val="both"/>
              <w:rPr>
                <w:rFonts w:ascii="Times New Roman" w:hAnsi="Times New Roman" w:eastAsia="华文中宋" w:cs="Times New Roman"/>
                <w:color w:val="000000"/>
                <w:sz w:val="28"/>
                <w:szCs w:val="28"/>
              </w:rPr>
            </w:pPr>
            <w:r>
              <w:rPr>
                <w:rFonts w:hint="eastAsia" w:ascii="Times New Roman" w:hAnsi="Times New Roman" w:eastAsia="华文中宋" w:cs="Times New Roman"/>
                <w:color w:val="000000"/>
                <w:sz w:val="24"/>
                <w:szCs w:val="24"/>
              </w:rPr>
              <w:t>0431-82530010</w:t>
            </w:r>
          </w:p>
        </w:tc>
        <w:tc>
          <w:tcPr>
            <w:tcW w:w="976" w:type="dxa"/>
            <w:gridSpan w:val="2"/>
            <w:tcBorders>
              <w:top w:val="single" w:color="auto" w:sz="4" w:space="0"/>
              <w:left w:val="single" w:color="auto" w:sz="4" w:space="0"/>
              <w:bottom w:val="single" w:color="auto" w:sz="4" w:space="0"/>
              <w:right w:val="single" w:color="auto" w:sz="4" w:space="0"/>
            </w:tcBorders>
            <w:vAlign w:val="center"/>
          </w:tcPr>
          <w:p w14:paraId="4EA85AC5">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手机</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41183074">
            <w:pPr>
              <w:spacing w:line="240" w:lineRule="exact"/>
              <w:jc w:val="center"/>
              <w:rPr>
                <w:rFonts w:ascii="Times New Roman" w:hAnsi="Times New Roman" w:eastAsia="华文中宋" w:cs="Times New Roman"/>
                <w:color w:val="000000"/>
                <w:sz w:val="28"/>
                <w:szCs w:val="28"/>
              </w:rPr>
            </w:pPr>
            <w:r>
              <w:rPr>
                <w:rFonts w:hint="eastAsia" w:ascii="Times New Roman" w:hAnsi="Times New Roman" w:eastAsia="华文中宋" w:cs="Times New Roman"/>
                <w:color w:val="000000"/>
                <w:sz w:val="28"/>
                <w:szCs w:val="28"/>
              </w:rPr>
              <w:t>17643168004</w:t>
            </w:r>
          </w:p>
        </w:tc>
      </w:tr>
      <w:tr w14:paraId="5B94F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14:paraId="24969B1C">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电子邮箱</w:t>
            </w:r>
          </w:p>
        </w:tc>
        <w:tc>
          <w:tcPr>
            <w:tcW w:w="4613" w:type="dxa"/>
            <w:gridSpan w:val="9"/>
            <w:tcBorders>
              <w:top w:val="single" w:color="auto" w:sz="4" w:space="0"/>
              <w:left w:val="single" w:color="auto" w:sz="4" w:space="0"/>
              <w:bottom w:val="single" w:color="auto" w:sz="4" w:space="0"/>
              <w:right w:val="single" w:color="auto" w:sz="4" w:space="0"/>
            </w:tcBorders>
            <w:vAlign w:val="center"/>
          </w:tcPr>
          <w:p w14:paraId="264EE40F">
            <w:pPr>
              <w:rPr>
                <w:rFonts w:ascii="Times New Roman" w:hAnsi="Times New Roman" w:eastAsia="华文中宋" w:cs="Times New Roman"/>
                <w:sz w:val="28"/>
                <w:szCs w:val="28"/>
              </w:rPr>
            </w:pPr>
            <w:r>
              <w:rPr>
                <w:rFonts w:hint="eastAsia" w:ascii="Times New Roman" w:hAnsi="Times New Roman" w:eastAsia="华文中宋" w:cs="Times New Roman"/>
                <w:sz w:val="28"/>
                <w:szCs w:val="28"/>
              </w:rPr>
              <w:t>503279004@qq.com</w:t>
            </w:r>
          </w:p>
        </w:tc>
        <w:tc>
          <w:tcPr>
            <w:tcW w:w="976" w:type="dxa"/>
            <w:gridSpan w:val="2"/>
            <w:tcBorders>
              <w:top w:val="single" w:color="auto" w:sz="4" w:space="0"/>
              <w:left w:val="single" w:color="auto" w:sz="4" w:space="0"/>
              <w:bottom w:val="single" w:color="auto" w:sz="4" w:space="0"/>
              <w:right w:val="single" w:color="auto" w:sz="4" w:space="0"/>
            </w:tcBorders>
            <w:vAlign w:val="center"/>
          </w:tcPr>
          <w:p w14:paraId="072EA43A">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邮编</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620D1FCE">
            <w:pPr>
              <w:spacing w:line="240" w:lineRule="exact"/>
              <w:jc w:val="center"/>
              <w:rPr>
                <w:rFonts w:ascii="Times New Roman" w:hAnsi="Times New Roman" w:eastAsia="华文中宋" w:cs="Times New Roman"/>
                <w:color w:val="000000"/>
                <w:sz w:val="28"/>
                <w:szCs w:val="28"/>
              </w:rPr>
            </w:pPr>
            <w:r>
              <w:rPr>
                <w:rFonts w:hint="eastAsia" w:ascii="Times New Roman" w:hAnsi="Times New Roman" w:eastAsia="华文中宋" w:cs="Times New Roman"/>
                <w:color w:val="000000"/>
                <w:sz w:val="28"/>
                <w:szCs w:val="28"/>
              </w:rPr>
              <w:t>130033</w:t>
            </w:r>
          </w:p>
        </w:tc>
      </w:tr>
      <w:tr w14:paraId="3A61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14:paraId="605CE884">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地址</w:t>
            </w:r>
          </w:p>
        </w:tc>
        <w:tc>
          <w:tcPr>
            <w:tcW w:w="7670" w:type="dxa"/>
            <w:gridSpan w:val="13"/>
            <w:tcBorders>
              <w:top w:val="single" w:color="auto" w:sz="4" w:space="0"/>
              <w:left w:val="single" w:color="auto" w:sz="4" w:space="0"/>
              <w:bottom w:val="single" w:color="auto" w:sz="4" w:space="0"/>
              <w:right w:val="single" w:color="auto" w:sz="4" w:space="0"/>
            </w:tcBorders>
            <w:vAlign w:val="center"/>
          </w:tcPr>
          <w:p w14:paraId="421E30DC">
            <w:pPr>
              <w:spacing w:line="240" w:lineRule="exact"/>
              <w:jc w:val="center"/>
              <w:rPr>
                <w:rFonts w:ascii="Times New Roman" w:hAnsi="Times New Roman" w:eastAsia="华文中宋" w:cs="Times New Roman"/>
                <w:color w:val="000000"/>
                <w:sz w:val="28"/>
                <w:szCs w:val="28"/>
              </w:rPr>
            </w:pPr>
            <w:r>
              <w:rPr>
                <w:rFonts w:hint="eastAsia" w:ascii="Times New Roman" w:hAnsi="Times New Roman" w:eastAsia="华文中宋" w:cs="Times New Roman"/>
                <w:color w:val="000000"/>
                <w:sz w:val="28"/>
                <w:szCs w:val="28"/>
              </w:rPr>
              <w:t>长春市经济技术开发区总部基地C区A1栋吉网传媒</w:t>
            </w:r>
          </w:p>
        </w:tc>
      </w:tr>
    </w:tbl>
    <w:p w14:paraId="6EFC50EF">
      <w:pPr>
        <w:rPr>
          <w:rFonts w:ascii="Times New Roman" w:hAnsi="Times New Roman" w:eastAsia="楷体" w:cs="Times New Roman"/>
          <w:color w:val="000000"/>
          <w:sz w:val="28"/>
          <w:szCs w:val="28"/>
        </w:rPr>
      </w:pPr>
      <w:r>
        <w:rPr>
          <w:rFonts w:ascii="Times New Roman" w:hAnsi="Times New Roman" w:eastAsia="楷体" w:cs="Times New Roman"/>
          <w:color w:val="000000"/>
          <w:sz w:val="28"/>
          <w:szCs w:val="28"/>
        </w:rPr>
        <w:t>此表可从吉林记协网www.jljx.net下载。</w:t>
      </w:r>
    </w:p>
    <w:p w14:paraId="41C45792">
      <w:pPr>
        <w:rPr>
          <w:rFonts w:ascii="Times New Roman" w:hAnsi="Times New Roman" w:eastAsia="楷体" w:cs="Times New Roman"/>
          <w:color w:val="000000"/>
          <w:sz w:val="28"/>
          <w:szCs w:val="28"/>
        </w:rPr>
      </w:pPr>
    </w:p>
    <w:p w14:paraId="08A6CD0C">
      <w:pPr>
        <w:jc w:val="center"/>
        <w:rPr>
          <w:rFonts w:hint="eastAsia" w:ascii="Times New Roman" w:hAnsi="Times New Roman" w:eastAsia="楷体" w:cs="Times New Roman"/>
          <w:color w:val="000000"/>
          <w:sz w:val="28"/>
          <w:szCs w:val="28"/>
          <w:lang w:eastAsia="zh-CN"/>
        </w:rPr>
      </w:pPr>
      <w:r>
        <w:rPr>
          <w:rFonts w:hint="eastAsia" w:eastAsiaTheme="minorEastAsia"/>
          <w:lang w:eastAsia="zh-CN"/>
        </w:rPr>
        <w:drawing>
          <wp:inline distT="0" distB="0" distL="114300" distR="114300">
            <wp:extent cx="1029970" cy="8854440"/>
            <wp:effectExtent l="0" t="0" r="17780" b="3810"/>
            <wp:docPr id="2" name="图片 2" descr="1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2321"/>
                    <pic:cNvPicPr>
                      <a:picLocks noChangeAspect="1"/>
                    </pic:cNvPicPr>
                  </pic:nvPicPr>
                  <pic:blipFill>
                    <a:blip r:embed="rId6"/>
                    <a:stretch>
                      <a:fillRect/>
                    </a:stretch>
                  </pic:blipFill>
                  <pic:spPr>
                    <a:xfrm>
                      <a:off x="0" y="0"/>
                      <a:ext cx="1029970" cy="8854440"/>
                    </a:xfrm>
                    <a:prstGeom prst="rect">
                      <a:avLst/>
                    </a:prstGeom>
                  </pic:spPr>
                </pic:pic>
              </a:graphicData>
            </a:graphic>
          </wp:inline>
        </w:drawing>
      </w:r>
      <w:r>
        <w:drawing>
          <wp:inline distT="0" distB="0" distL="114300" distR="114300">
            <wp:extent cx="3019425" cy="298132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3019425" cy="2981325"/>
                    </a:xfrm>
                    <a:prstGeom prst="rect">
                      <a:avLst/>
                    </a:prstGeom>
                    <a:noFill/>
                    <a:ln>
                      <a:noFill/>
                    </a:ln>
                  </pic:spPr>
                </pic:pic>
              </a:graphicData>
            </a:graphic>
          </wp:inline>
        </w:drawing>
      </w:r>
      <w:bookmarkStart w:id="0" w:name="_GoBack"/>
      <w:bookmarkEnd w:id="0"/>
    </w:p>
    <w:p w14:paraId="43C9290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东北振兴·特别对话｜邴正：创新推动安全发展 实现东北全面振兴</w:t>
      </w:r>
    </w:p>
    <w:p w14:paraId="0594C6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sz w:val="44"/>
          <w:szCs w:val="44"/>
        </w:rPr>
      </w:pPr>
    </w:p>
    <w:p w14:paraId="6799F8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三月，中国大地一派春的气息。</w:t>
      </w:r>
    </w:p>
    <w:p w14:paraId="7AC3529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全国两会上，东北全面振兴的话题被众多代表委员热议。</w:t>
      </w:r>
    </w:p>
    <w:p w14:paraId="0240484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2024年，实施东北振兴战略迈进第三个十年，“新时代东北全面振兴”将书写怎样的生动篇章，令人充满期待。</w:t>
      </w:r>
    </w:p>
    <w:p w14:paraId="4941254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未来，吉林如何立足现实，实现全面振兴？在新一轮的新兴产业发展中如何抢抓机遇？如何留住人才、重视人才、引进人才……围绕这些问题，中国吉林网特别对话了吉林大学校务委员会副主任、吉林大学东北振兴发展研究院院长邴正教授，他也阐述了他的观点和看法。</w:t>
      </w:r>
    </w:p>
    <w:p w14:paraId="3C66F6E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精彩看点</w:t>
      </w:r>
    </w:p>
    <w:p w14:paraId="5A62D0C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“东北振兴战略实施20年间，东北全力筑牢了国家赋予的‘五大安全’的任务。落实了中央给东北提出的东北振兴的重要任务。”</w:t>
      </w:r>
    </w:p>
    <w:p w14:paraId="0878AC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中国吉林网：2023年是东北振兴战略实施20周年，从您的角度，如何观察和评价20年间东北振兴取得的重要进展和成效？您觉得我们取得的最大成就是什么？最值得总结的经验和收获有哪些？</w:t>
      </w:r>
    </w:p>
    <w:p w14:paraId="790AE8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吉林大学校务委员会副主任、</w:t>
      </w:r>
    </w:p>
    <w:p w14:paraId="692277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吉林大学东北振兴发展研究院院长邴正：</w:t>
      </w:r>
    </w:p>
    <w:p w14:paraId="5F1296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426DF5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2003年，党中央作出实施东北地区等老工业基地振兴战略的重大决策，拉开了东北地区等老工业基地振兴战略的序幕。20年间，东北全力筑牢了国家赋予的“五大安全”的任务。</w:t>
      </w:r>
    </w:p>
    <w:p w14:paraId="085EAE3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首先，粮食安全。2022年，东北三省产粮逾2865亿斤，收获了自2004年以来的“十九连丰”，在大国粮仓中持续贡献着东北担当，东北三省也做到了国家粮食安全的“压舱石”的作用。</w:t>
      </w:r>
    </w:p>
    <w:p w14:paraId="627399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其次，能源安全。从大庆油田投产以后，迅速成为我国油气当量生产排行第一的最大的油田，进入21世纪以来，大庆油田也面临着稳产的问题。虽然长庆油田近年超过了大庆油田，但大庆油田仍然稳居全国油田油气当量生产第二的位置，加上松原油田、辽河油田、渤海油田等一系列的油田，东北在能源安全上，对国家的贡献是突出和巨大的。</w:t>
      </w:r>
    </w:p>
    <w:p w14:paraId="5C9907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第三，产业安全。东北产业安全基础不断巩固，东北地区是我国重要的工业基地，在重工业和基础工业方面，东北工业体系比较健全，在国内基础工业中，自身基础是非常雄厚的。</w:t>
      </w:r>
    </w:p>
    <w:p w14:paraId="5CEACEA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四，生态安全。东北自然条件比较好，开发较晚，水绕山环，林草丰富。东北三省加上内蒙古东部，森林覆盖率就超过了40%，在国内是领先的，而且东北蕴藏的森林资源非常丰富。从实行天保工程以来，也采取了退耕还林和森林保护，使东北的生态总体向好。</w:t>
      </w:r>
    </w:p>
    <w:p w14:paraId="535013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第五，国防安全。东北地处边疆，是国防前线，而东北亚地区矛盾复杂，所以确保东北边境安全，对确保全国的国防安全起着重要的作用，与此同时，东北又是国家国防工业的重要基地。</w:t>
      </w:r>
    </w:p>
    <w:p w14:paraId="53F970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从以上来看，东北振兴战略实施20周年来，东北在这五大方面取得了明显的进展，落实了中央给东北提出的东北振兴的重要任务。</w:t>
      </w:r>
    </w:p>
    <w:p w14:paraId="043626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“东北现象的根源在于产业转移，这一产业转移是全球性的。”</w:t>
      </w:r>
    </w:p>
    <w:p w14:paraId="0DF826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中国吉林网：网上有一些人说，过去20年，即便国家下大力气助力，但东北还是“振而不兴”；也有观点认为从世界范围看，凡有老工业基地的地区，都面临长期艰巨的转型过程，对此，您怎么看？</w:t>
      </w:r>
    </w:p>
    <w:p w14:paraId="4CBEF2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吉林大学校务委员会副主任、</w:t>
      </w:r>
    </w:p>
    <w:p w14:paraId="37FA07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吉林大学东北振兴发展研究院院长邴正：</w:t>
      </w:r>
    </w:p>
    <w:p w14:paraId="738D95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对于东北经济，社会上多有舆论，出现这种情况的原因是多方面的。例如资源枯竭的影响；计划经济体制与国企改制的影响；不利的东北亚国际环境的影响以及传统思想文化的影响等。</w:t>
      </w:r>
    </w:p>
    <w:p w14:paraId="2FA885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但最根本的原因还是全球性的产业转移造成的。</w:t>
      </w:r>
    </w:p>
    <w:p w14:paraId="62EE55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1A6011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传统工业化始于18世纪工业革命，以原材料开发和原材料加工为主，采矿业和机械加工业成为支柱产业，原材料产地自然成为工业中心。丰富的煤、铁、有色金属和森林资源使东北成为中国工业基地的根本原因。</w:t>
      </w:r>
    </w:p>
    <w:p w14:paraId="77AD6F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二战结束后，全球进入到了现代工业化时代，转向了以石油化工、汽车、电子产业为支柱产业。东北的石油、长春的汽车制造业和沈阳等地的电子产业，仍然使东北走在全国经济发展的前列。</w:t>
      </w:r>
    </w:p>
    <w:p w14:paraId="7B7683C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但是，进入20世纪和21世纪的交替时期，我们就进入到了新兴工业化时代，以新能源、新材料、信息工程、生物生命工程、航空航天工程和海洋工程等新兴科技为推动力。新兴科学技术不再依赖原材料，主要依赖全球性科技人才和高校科研院所的高端实验室，原材料产地和传统工业基地优势不再，产业中心向国际性大都市和沿海地区转移。</w:t>
      </w:r>
    </w:p>
    <w:p w14:paraId="0F1677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东北地处边疆，吸纳国际领先人才的能力都落后于北、上、广、深，所以，东北在产业转型过程中面临着传统产业逐步萎缩和衰落，而新兴产业的核心是聚集人才，东北在这方面并没有得天独厚的优势甚至还存在劣势，这就导致东北在产业转移过程中，新兴产业跟进的速度比传统产业萎缩的速度要慢，产生了断代。</w:t>
      </w:r>
    </w:p>
    <w:p w14:paraId="22AD34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这一产业转移是全球性的，美国20世纪80年代西海岸硅谷的崛起与美国东北底特律、芝加哥、匹兹堡等“锈带”的出现，以及德国的鲁尔、英国的曼彻斯特等老工业基地的衰落，都是这一转移的突出表征。</w:t>
      </w:r>
    </w:p>
    <w:p w14:paraId="02FE2F2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因此，东北老工业基地的改造和振兴，是中国进入新兴工业化的过渡性阵痛，也是进入新时代，社会发展变革对东北和中国的时代性挑战。</w:t>
      </w:r>
    </w:p>
    <w:p w14:paraId="0471269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“‘破冰’要在科技创新上下功夫，要‘以点突破’不要‘四面出击’。不仅如此，还要做好人才工程，大力发展民营经济。”</w:t>
      </w:r>
    </w:p>
    <w:p w14:paraId="15B9501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中国吉林网：吉林作为老工业基地，在您看来，我们要“破冰”应该从哪里入手？</w:t>
      </w:r>
    </w:p>
    <w:p w14:paraId="16D071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吉林大学校务委员会副主任、</w:t>
      </w:r>
    </w:p>
    <w:p w14:paraId="4559905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吉林大学东北振兴发展研究院院长邴正：</w:t>
      </w:r>
    </w:p>
    <w:p w14:paraId="796F8A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如何“破冰”，正如习近平总书记强调的，“推动东北全面振兴，根基在实体经济，关键在科技创新，方向是产业升级”。</w:t>
      </w:r>
    </w:p>
    <w:p w14:paraId="6975EA2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首先，我们要在科技创新上下功夫，力争在新能源、新材料、信息工程、海洋工程、航空航天工程、生物生命医药工程等新兴产业领域有所突破和壮大。</w:t>
      </w:r>
    </w:p>
    <w:p w14:paraId="621E9E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拿吉林为例，在短期内“四面出击”的成功可能性是小的，因为受到资金限制。与此同时，像海洋工程、航空航天工程等方面，我们没有优势。但我们可以在新能源、新材料和生物生命医药工程的三大领域有所作为。</w:t>
      </w:r>
    </w:p>
    <w:p w14:paraId="4501D1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所以，要“以点突破”！</w:t>
      </w:r>
    </w:p>
    <w:p w14:paraId="50DE6F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例如，吉林大学与中国一汽进行深度合作，跟上汽车工业转型的步伐，以吉大为首的吉林省高校科研院所，应该跟进一汽的产业转型需要，加强研发，在技术上有所突破，把新材料、新能源和信息工程结合在一起。新型汽车工业的崛起，能拉动吉林省的新型工业化，我们就能从困境中走出来。</w:t>
      </w:r>
    </w:p>
    <w:p w14:paraId="52F3A5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在生物生命医药领域，吉林省有传统优势，既有科研优势，也有产业优势，目前欠缺的是将其做成全国性，甚至全球性产业。</w:t>
      </w:r>
    </w:p>
    <w:p w14:paraId="253BE6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如果吉林在新能源、新材料和生物生命医药工程的三大领域方面做成功的话，吉林省的经济增长翻番指日可待。</w:t>
      </w:r>
    </w:p>
    <w:p w14:paraId="08A724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其次，做好人才工程。虽然吉林省在这一方面采取了一系列举措，但随着新的发展需要还远远不够。下大力气，在人才方面进行投入，围绕重点领域，集中力量吸引人才，培养人才，发现人才，支持人才。</w:t>
      </w:r>
    </w:p>
    <w:p w14:paraId="000C705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三，大力发展民营经济。民营经济可以成为保持国民经济持续增长、维护社会稳定和参与国企改革的主力军。同时，在体制的调整和创新过程中，要将民营经济放在更加突出的位置上，使之成为体制转轨和机制再造的主推力。</w:t>
      </w:r>
    </w:p>
    <w:p w14:paraId="5F0A6B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“16字概括东北全面振兴的前景和未来——调整观念，协调发展，鼓励创新，宽容失败。”</w:t>
      </w:r>
    </w:p>
    <w:p w14:paraId="13EC84F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0F9A812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中国吉林网：您作为东北振兴发展研究院的院长，对东北全面振兴的前景和未来是如何看待的？最重要的突破口又在哪里？</w:t>
      </w:r>
    </w:p>
    <w:p w14:paraId="3DDCF3C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吉林大学校务委员会副主任、</w:t>
      </w:r>
    </w:p>
    <w:p w14:paraId="4CC964D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吉林大学东北振兴发展研究院院长邴正：</w:t>
      </w:r>
    </w:p>
    <w:p w14:paraId="20939A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我对东北振兴充满希望。</w:t>
      </w:r>
    </w:p>
    <w:p w14:paraId="2596D8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首先，我们要调整观念，东北振兴不是短期任务，是一个长期的任务。我们面临着全球性的产业转移，这种产业转移不是几年就能完成，它带来的阵痛需要东北来承受和来消化。东北振兴要做长期谋划，很可能10年、20年甚至更长时间才能够恢复过来。</w:t>
      </w:r>
    </w:p>
    <w:p w14:paraId="543775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其次，实现东北全面振兴，要贯彻和落实中国式现代化的总方针，推动“五个文明”协调发展。东北全面振兴，不仅辽宁要振兴，吉林、黑龙江、内蒙古东部都要振兴，但不意味着方方面面在短期内同步进行，一定要有序进行，分阶段、分领域、分重点地逐步实施，循序渐进。选择东北最有优势的地方，实施战略突破，然后扩大战果，扩大经济规模，提升经济影响力，用不断的成功巩固振兴东北的信心。</w:t>
      </w:r>
    </w:p>
    <w:p w14:paraId="185003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第三，鼓励创新，宽容失败。不要因为一个地区产生的一时经济波动，就进行地域歧视。   </w:t>
      </w:r>
    </w:p>
    <w:p w14:paraId="651A2CB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访谈最终，邴正教授将东北振兴的“突破口”落在科技创新、人才工程和大力发展民营经济三个领域之上。</w:t>
      </w:r>
    </w:p>
    <w:p w14:paraId="7007FE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中国吉林网 吉刻APP记者 越明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摄影 郭亮</w:t>
      </w:r>
    </w:p>
    <w:p w14:paraId="48655030">
      <w:pPr>
        <w:jc w:val="center"/>
        <w:rPr>
          <w:rFonts w:hint="eastAsia" w:ascii="Times New Roman" w:hAnsi="Times New Roman" w:eastAsia="楷体" w:cs="Times New Roman"/>
          <w:color w:val="000000"/>
          <w:sz w:val="28"/>
          <w:szCs w:val="28"/>
          <w:lang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E195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F21AC4">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F21AC4">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90C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903EF"/>
    <w:rsid w:val="080041F1"/>
    <w:rsid w:val="0E0E518E"/>
    <w:rsid w:val="19283F27"/>
    <w:rsid w:val="21316BD4"/>
    <w:rsid w:val="217D46AD"/>
    <w:rsid w:val="29B449E4"/>
    <w:rsid w:val="2E1B748C"/>
    <w:rsid w:val="2EFF4953"/>
    <w:rsid w:val="31AB491E"/>
    <w:rsid w:val="3358439F"/>
    <w:rsid w:val="3AF32B6B"/>
    <w:rsid w:val="3DB35286"/>
    <w:rsid w:val="3E991886"/>
    <w:rsid w:val="407C31B8"/>
    <w:rsid w:val="40E060E5"/>
    <w:rsid w:val="48370F0A"/>
    <w:rsid w:val="4C0C5435"/>
    <w:rsid w:val="52AA6800"/>
    <w:rsid w:val="5523289A"/>
    <w:rsid w:val="58CD3249"/>
    <w:rsid w:val="5B4215C4"/>
    <w:rsid w:val="5BDE0381"/>
    <w:rsid w:val="68662D72"/>
    <w:rsid w:val="6985779D"/>
    <w:rsid w:val="6A4964A7"/>
    <w:rsid w:val="6EF25097"/>
    <w:rsid w:val="796C5D0E"/>
    <w:rsid w:val="7BE63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4383</Words>
  <Characters>4616</Characters>
  <Lines>0</Lines>
  <Paragraphs>0</Paragraphs>
  <TotalTime>0</TotalTime>
  <ScaleCrop>false</ScaleCrop>
  <LinksUpToDate>false</LinksUpToDate>
  <CharactersWithSpaces>4743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2025-03-26T15:24:00Z</dcterms:created>
  <dc:creator>越明</dc:creator>
  <cp:lastModifiedBy>ZJ蔷</cp:lastModifiedBy>
  <dcterms:modified xsi:type="dcterms:W3CDTF">2025-03-28T08:17:05Z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eyJoZGlkIjoiNDgzMjEzZWI4YmJhMjcyOTI3YjdiYjcwNjI5YmE5ODciLCJ1c2VySWQiOiIxMjA3MzMwNjg2In0=</vt:lpwstr>
  </property>
  <property fmtid="{D5CDD505-2E9C-101B-9397-08002B2CF9AE}" pid="4" name="ICV">
    <vt:lpwstr>42AC39CAE8244F55A9C4A455C05D07D1_12</vt:lpwstr>
  </property>
</Properties>
</file>